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1EC2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1B0220C9" wp14:editId="3BB06D5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21AC40" w14:textId="77777777" w:rsidR="008C3419" w:rsidRPr="008C3419" w:rsidRDefault="008C3419" w:rsidP="008C3419"/>
    <w:p w14:paraId="40DA00CC" w14:textId="77777777" w:rsidR="008C3419" w:rsidRPr="008C3419" w:rsidRDefault="008C3419" w:rsidP="008C3419"/>
    <w:p w14:paraId="065D5B05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4679782D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2A78BA" w14:paraId="54935CB8" w14:textId="77777777" w:rsidTr="00690047">
        <w:tc>
          <w:tcPr>
            <w:tcW w:w="4788" w:type="dxa"/>
            <w:shd w:val="clear" w:color="auto" w:fill="auto"/>
          </w:tcPr>
          <w:p w14:paraId="3D043A61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6406185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4EEA13B1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502481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43956012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458D1F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2A78BA">
        <w:rPr>
          <w:rFonts w:ascii="Arial" w:hAnsi="Arial" w:cs="Arial"/>
          <w:sz w:val="23"/>
          <w:szCs w:val="23"/>
          <w:lang w:val="el-GR"/>
        </w:rPr>
        <w:t>3 Ιανουαρίου, 2021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</w:t>
      </w:r>
    </w:p>
    <w:p w14:paraId="4E7ACEE3" w14:textId="77777777" w:rsidR="0062172C" w:rsidRPr="008F4387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8F4387" w:rsidRPr="008F4387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2A78BA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 Συνομωσία προς διάπραξη κακουργήματος –</w:t>
      </w:r>
      <w:r w:rsidR="00830B5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Δ</w:t>
      </w:r>
      <w:r w:rsidR="002A78BA">
        <w:rPr>
          <w:rFonts w:ascii="Arial" w:hAnsi="Arial" w:cs="Arial"/>
          <w:b/>
          <w:bCs/>
          <w:sz w:val="23"/>
          <w:szCs w:val="23"/>
          <w:u w:val="single"/>
          <w:lang w:val="el-GR"/>
        </w:rPr>
        <w:t>ιαρρήξεις και κλοπές –</w:t>
      </w:r>
      <w:r w:rsidR="00830B5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Π</w:t>
      </w:r>
      <w:r w:rsidR="002A78BA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αράνομη κατοχή περιουσίας</w:t>
      </w:r>
      <w:r w:rsidR="00830B5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Ο Περί </w:t>
      </w:r>
      <w:proofErr w:type="spellStart"/>
      <w:r w:rsidR="00830B57">
        <w:rPr>
          <w:rFonts w:ascii="Arial" w:hAnsi="Arial" w:cs="Arial"/>
          <w:b/>
          <w:bCs/>
          <w:sz w:val="23"/>
          <w:szCs w:val="23"/>
          <w:u w:val="single"/>
          <w:lang w:val="el-GR"/>
        </w:rPr>
        <w:t>Λ</w:t>
      </w:r>
      <w:r w:rsidR="00225D24">
        <w:rPr>
          <w:rFonts w:ascii="Arial" w:hAnsi="Arial" w:cs="Arial"/>
          <w:b/>
          <w:bCs/>
          <w:sz w:val="23"/>
          <w:szCs w:val="23"/>
          <w:u w:val="single"/>
          <w:lang w:val="el-GR"/>
        </w:rPr>
        <w:t>οιμοκάθαρσης</w:t>
      </w:r>
      <w:proofErr w:type="spellEnd"/>
      <w:r w:rsidR="00830B5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Νόμος</w:t>
      </w:r>
      <w:r w:rsidR="002A78B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- συλλήψεις</w:t>
      </w:r>
    </w:p>
    <w:p w14:paraId="585FA71E" w14:textId="77777777" w:rsidR="002A78BA" w:rsidRDefault="002A78BA" w:rsidP="002A78B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Μέλη της Αστυνομίας (ΤΑΕ Πάφου), διεξήγαγαν χθες έρευνα σε οικία στην Πάφο, μετά από αξιολόγηση πληροφορίας, για καταζητούμενα πρόσωπα, τα οποία ενέχονται σε υποθέσεις διαρρήξεων και κλοπών.</w:t>
      </w:r>
    </w:p>
    <w:p w14:paraId="689AFCC4" w14:textId="77777777" w:rsidR="002A78BA" w:rsidRDefault="002A78BA" w:rsidP="002A78B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Κατά την έρευνα, εντός της οικίας εντοπίστηκε και συνελήφθηκε 19χρονος, ο οποίος καταζητείτο για υποθέσεις διαρρήξεων και κλοπών, καθώς επίσης και ακόμη τρία άτομα, ηλικίας 17, 19 και 27 ετών αντίστοιχα.</w:t>
      </w:r>
    </w:p>
    <w:p w14:paraId="1CDFE75D" w14:textId="77777777" w:rsidR="002A78BA" w:rsidRDefault="002A78BA" w:rsidP="002A78B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Στην κατοχή του 19χρονου, εντοπίστηκε ποσότητα κρυσταλλικής ουσίας που πιστεύεται, ότι είναι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μεταμφεταμίνη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>, καθώς επίσης δύο κινητά και ένας φορτιστής τηλεφώνου, για τα οποία δεν έδωσε ικανοποιητικές εξηγήσεις για την προέλευσή τους.</w:t>
      </w:r>
    </w:p>
    <w:p w14:paraId="54BB8D70" w14:textId="77777777" w:rsidR="00830B57" w:rsidRDefault="002A78BA" w:rsidP="002A78B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Επίσης, στην κατοχή δεύτερου 19χρονου, ανευρέθηκε χρηματικό πόσο, ενώ σε έρευνα που έγινε στο αυτοκίνητό του, ανευρέ</w:t>
      </w:r>
      <w:r w:rsidR="00830B57">
        <w:rPr>
          <w:rFonts w:ascii="Arial" w:hAnsi="Arial" w:cs="Arial"/>
          <w:bCs/>
          <w:sz w:val="23"/>
          <w:szCs w:val="23"/>
          <w:lang w:val="el-GR"/>
        </w:rPr>
        <w:t>θηκαν ένας φορητός ηλεκτρονικός υπολογιστής, ένα ραδιόφ</w:t>
      </w:r>
      <w:r w:rsidR="00225D24">
        <w:rPr>
          <w:rFonts w:ascii="Arial" w:hAnsi="Arial" w:cs="Arial"/>
          <w:bCs/>
          <w:sz w:val="23"/>
          <w:szCs w:val="23"/>
          <w:lang w:val="el-GR"/>
        </w:rPr>
        <w:t>ωνο αυτοκινήτου,</w:t>
      </w:r>
      <w:r w:rsidR="00830B57">
        <w:rPr>
          <w:rFonts w:ascii="Arial" w:hAnsi="Arial" w:cs="Arial"/>
          <w:bCs/>
          <w:sz w:val="23"/>
          <w:szCs w:val="23"/>
          <w:lang w:val="el-GR"/>
        </w:rPr>
        <w:t xml:space="preserve"> δύο κινητά τηλέφωνα, ένας σκληρός δίσκος και </w:t>
      </w:r>
      <w:r w:rsidR="00BA7824">
        <w:rPr>
          <w:rFonts w:ascii="Arial" w:hAnsi="Arial" w:cs="Arial"/>
          <w:bCs/>
          <w:sz w:val="23"/>
          <w:szCs w:val="23"/>
          <w:lang w:val="el-GR"/>
        </w:rPr>
        <w:t>ένα ηλεκτρονικό χειριστήριο, με αποτέλεσμα να συλληφθεί για το αυτόφωρο αδίκημα της παράνομης κατοχής περιουσίας.</w:t>
      </w:r>
    </w:p>
    <w:p w14:paraId="3A2DD36F" w14:textId="77777777" w:rsidR="00830B57" w:rsidRDefault="00830B57" w:rsidP="002A78B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Και τα τέσσερα πιο πάνω πρόσωπα, οδηγήθηκαν στα Γραφεία του ΤΑΕ Πάφου, όπου εξασφαλίστηκε μαρτυρία, ότι ενέχονται στα πιο πάνω αδικήματα και συνελήφθησαν βάσει δικαστικών ενταλμάτων.</w:t>
      </w:r>
    </w:p>
    <w:p w14:paraId="0B1529B0" w14:textId="77777777" w:rsidR="002A78BA" w:rsidRPr="002A78BA" w:rsidRDefault="00830B57" w:rsidP="002A78B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Το ΤΑΕ Πάφου</w:t>
      </w:r>
      <w:r w:rsidR="002A78BA">
        <w:rPr>
          <w:rFonts w:ascii="Arial" w:hAnsi="Arial" w:cs="Arial"/>
          <w:bCs/>
          <w:sz w:val="23"/>
          <w:szCs w:val="23"/>
          <w:lang w:val="el-GR"/>
        </w:rPr>
        <w:t xml:space="preserve"> </w:t>
      </w:r>
      <w:r>
        <w:rPr>
          <w:rFonts w:ascii="Arial" w:hAnsi="Arial" w:cs="Arial"/>
          <w:bCs/>
          <w:sz w:val="23"/>
          <w:szCs w:val="23"/>
          <w:lang w:val="el-GR"/>
        </w:rPr>
        <w:t>συνεχίζει τις εξετάσεις.</w:t>
      </w:r>
    </w:p>
    <w:p w14:paraId="45ECE8AE" w14:textId="77777777" w:rsidR="0038619E" w:rsidRDefault="0038619E" w:rsidP="00830B57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lastRenderedPageBreak/>
        <w:t>Κλάδος Επικοινωνίας</w:t>
      </w:r>
    </w:p>
    <w:p w14:paraId="2CA72757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239CFD10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58A51B17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510D17BF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E54E4C8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9D9CA2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32D6A5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054CD6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0593E7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ABF193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0379B6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052071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5E64E60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F5996FC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BA91C" w14:textId="77777777" w:rsidR="009C5A89" w:rsidRDefault="009C5A89" w:rsidP="00404DCD">
      <w:pPr>
        <w:spacing w:after="0" w:line="240" w:lineRule="auto"/>
      </w:pPr>
      <w:r>
        <w:separator/>
      </w:r>
    </w:p>
  </w:endnote>
  <w:endnote w:type="continuationSeparator" w:id="0">
    <w:p w14:paraId="656635E2" w14:textId="77777777" w:rsidR="009C5A89" w:rsidRDefault="009C5A8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1EECC11B" w14:textId="77777777" w:rsidTr="00690047">
      <w:tc>
        <w:tcPr>
          <w:tcW w:w="12576" w:type="dxa"/>
          <w:gridSpan w:val="2"/>
        </w:tcPr>
        <w:p w14:paraId="6B43B111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4983FC6" wp14:editId="2FD34794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2A78BA" w14:paraId="3F894A5B" w14:textId="77777777" w:rsidTr="00690047">
      <w:tc>
        <w:tcPr>
          <w:tcW w:w="2269" w:type="dxa"/>
        </w:tcPr>
        <w:p w14:paraId="7BB8D9E2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6DB887" wp14:editId="274D02FD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D8BB254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078659F" wp14:editId="35DF6A1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3452AD6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0F64D38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1F5A0842" w14:textId="77777777" w:rsidTr="00690047">
      <w:tc>
        <w:tcPr>
          <w:tcW w:w="12576" w:type="dxa"/>
          <w:gridSpan w:val="2"/>
        </w:tcPr>
        <w:p w14:paraId="27310A04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6F4D7D4" wp14:editId="0A08CF10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2A78BA" w14:paraId="4CFE7BB9" w14:textId="77777777" w:rsidTr="00690047">
      <w:tc>
        <w:tcPr>
          <w:tcW w:w="2269" w:type="dxa"/>
        </w:tcPr>
        <w:p w14:paraId="5BFB866B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EFC53A2" wp14:editId="012137E3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B60AAC9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2699E42" wp14:editId="58E93C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684BAC9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DD45B7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6B9DC" w14:textId="77777777" w:rsidR="009C5A89" w:rsidRDefault="009C5A89" w:rsidP="00404DCD">
      <w:pPr>
        <w:spacing w:after="0" w:line="240" w:lineRule="auto"/>
      </w:pPr>
      <w:r>
        <w:separator/>
      </w:r>
    </w:p>
  </w:footnote>
  <w:footnote w:type="continuationSeparator" w:id="0">
    <w:p w14:paraId="5CBF27C9" w14:textId="77777777" w:rsidR="009C5A89" w:rsidRDefault="009C5A8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EB887E1" w14:textId="77777777" w:rsidR="00690047" w:rsidRDefault="009C5A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1D095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3F44" w14:textId="77777777" w:rsidR="00690047" w:rsidRDefault="00690047">
    <w:pPr>
      <w:pStyle w:val="Header"/>
      <w:jc w:val="center"/>
    </w:pPr>
  </w:p>
  <w:p w14:paraId="1A58D63E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C2B"/>
    <w:rsid w:val="00004418"/>
    <w:rsid w:val="000108C2"/>
    <w:rsid w:val="00022566"/>
    <w:rsid w:val="000332AF"/>
    <w:rsid w:val="00036943"/>
    <w:rsid w:val="000379CB"/>
    <w:rsid w:val="000552AA"/>
    <w:rsid w:val="000569EC"/>
    <w:rsid w:val="00062C5D"/>
    <w:rsid w:val="00064808"/>
    <w:rsid w:val="00066663"/>
    <w:rsid w:val="00074CBB"/>
    <w:rsid w:val="00081139"/>
    <w:rsid w:val="000A5670"/>
    <w:rsid w:val="000C185B"/>
    <w:rsid w:val="000D1CE3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14B1"/>
    <w:rsid w:val="001431FC"/>
    <w:rsid w:val="00145969"/>
    <w:rsid w:val="00147CB8"/>
    <w:rsid w:val="001676C1"/>
    <w:rsid w:val="0017195A"/>
    <w:rsid w:val="00177D48"/>
    <w:rsid w:val="00180695"/>
    <w:rsid w:val="001841EB"/>
    <w:rsid w:val="00192C96"/>
    <w:rsid w:val="00195885"/>
    <w:rsid w:val="001969E0"/>
    <w:rsid w:val="001B08D8"/>
    <w:rsid w:val="001B5199"/>
    <w:rsid w:val="001C0B1C"/>
    <w:rsid w:val="001C0ECC"/>
    <w:rsid w:val="001C3A72"/>
    <w:rsid w:val="001C3C06"/>
    <w:rsid w:val="001F47FF"/>
    <w:rsid w:val="00204860"/>
    <w:rsid w:val="0021063D"/>
    <w:rsid w:val="0021212C"/>
    <w:rsid w:val="00222A24"/>
    <w:rsid w:val="0022513A"/>
    <w:rsid w:val="00225D24"/>
    <w:rsid w:val="0023504A"/>
    <w:rsid w:val="00241382"/>
    <w:rsid w:val="00263214"/>
    <w:rsid w:val="002651E0"/>
    <w:rsid w:val="00273F20"/>
    <w:rsid w:val="00275480"/>
    <w:rsid w:val="002758D4"/>
    <w:rsid w:val="00283926"/>
    <w:rsid w:val="002A36B7"/>
    <w:rsid w:val="002A78BA"/>
    <w:rsid w:val="002B2BF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1027"/>
    <w:rsid w:val="003576C8"/>
    <w:rsid w:val="00360C82"/>
    <w:rsid w:val="00363889"/>
    <w:rsid w:val="003640D2"/>
    <w:rsid w:val="0038030E"/>
    <w:rsid w:val="00382C76"/>
    <w:rsid w:val="0038619E"/>
    <w:rsid w:val="003A0491"/>
    <w:rsid w:val="003B15F6"/>
    <w:rsid w:val="003D7DD3"/>
    <w:rsid w:val="003E4843"/>
    <w:rsid w:val="003F1145"/>
    <w:rsid w:val="003F28D6"/>
    <w:rsid w:val="00404DCD"/>
    <w:rsid w:val="00406067"/>
    <w:rsid w:val="004067F4"/>
    <w:rsid w:val="00407FA4"/>
    <w:rsid w:val="00411A32"/>
    <w:rsid w:val="004143E8"/>
    <w:rsid w:val="00422117"/>
    <w:rsid w:val="00423F79"/>
    <w:rsid w:val="00440A35"/>
    <w:rsid w:val="00465210"/>
    <w:rsid w:val="00470D62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35C0"/>
    <w:rsid w:val="00526701"/>
    <w:rsid w:val="00533723"/>
    <w:rsid w:val="00545257"/>
    <w:rsid w:val="005453B1"/>
    <w:rsid w:val="00555DEB"/>
    <w:rsid w:val="00570F0A"/>
    <w:rsid w:val="0057777F"/>
    <w:rsid w:val="005878C8"/>
    <w:rsid w:val="005B56E2"/>
    <w:rsid w:val="005C7878"/>
    <w:rsid w:val="005D0BF3"/>
    <w:rsid w:val="005D6B1C"/>
    <w:rsid w:val="005E43DB"/>
    <w:rsid w:val="005E47A9"/>
    <w:rsid w:val="00615C2E"/>
    <w:rsid w:val="0062080B"/>
    <w:rsid w:val="0062172C"/>
    <w:rsid w:val="00635C2B"/>
    <w:rsid w:val="00636DD6"/>
    <w:rsid w:val="00643873"/>
    <w:rsid w:val="00644BDE"/>
    <w:rsid w:val="00655106"/>
    <w:rsid w:val="006660E2"/>
    <w:rsid w:val="00673C1B"/>
    <w:rsid w:val="006754ED"/>
    <w:rsid w:val="006810E5"/>
    <w:rsid w:val="00690047"/>
    <w:rsid w:val="006A70DE"/>
    <w:rsid w:val="006C644E"/>
    <w:rsid w:val="006D694A"/>
    <w:rsid w:val="006D6BC8"/>
    <w:rsid w:val="006D7DE5"/>
    <w:rsid w:val="006F5CA1"/>
    <w:rsid w:val="00710EAF"/>
    <w:rsid w:val="007124C2"/>
    <w:rsid w:val="00714BD2"/>
    <w:rsid w:val="00714C62"/>
    <w:rsid w:val="00726E30"/>
    <w:rsid w:val="00732AE6"/>
    <w:rsid w:val="00735AE1"/>
    <w:rsid w:val="00773CE9"/>
    <w:rsid w:val="0078196F"/>
    <w:rsid w:val="00783D11"/>
    <w:rsid w:val="007919C3"/>
    <w:rsid w:val="00795115"/>
    <w:rsid w:val="00797637"/>
    <w:rsid w:val="007A0D26"/>
    <w:rsid w:val="007A4C07"/>
    <w:rsid w:val="007C7B78"/>
    <w:rsid w:val="007D1790"/>
    <w:rsid w:val="007D27A6"/>
    <w:rsid w:val="007E52C3"/>
    <w:rsid w:val="007F6141"/>
    <w:rsid w:val="008104AE"/>
    <w:rsid w:val="00810FCA"/>
    <w:rsid w:val="00821690"/>
    <w:rsid w:val="0082336F"/>
    <w:rsid w:val="00824894"/>
    <w:rsid w:val="008254CD"/>
    <w:rsid w:val="00830B57"/>
    <w:rsid w:val="00833C7E"/>
    <w:rsid w:val="00864200"/>
    <w:rsid w:val="008725B8"/>
    <w:rsid w:val="008846D1"/>
    <w:rsid w:val="00887236"/>
    <w:rsid w:val="00894A15"/>
    <w:rsid w:val="008A3440"/>
    <w:rsid w:val="008B64BB"/>
    <w:rsid w:val="008C3419"/>
    <w:rsid w:val="008D0965"/>
    <w:rsid w:val="008F160F"/>
    <w:rsid w:val="008F4387"/>
    <w:rsid w:val="009302D1"/>
    <w:rsid w:val="00950522"/>
    <w:rsid w:val="00951AD9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C5A89"/>
    <w:rsid w:val="009E4FDE"/>
    <w:rsid w:val="00A102A0"/>
    <w:rsid w:val="00A4397D"/>
    <w:rsid w:val="00A4616C"/>
    <w:rsid w:val="00A70F46"/>
    <w:rsid w:val="00A7240A"/>
    <w:rsid w:val="00A7300A"/>
    <w:rsid w:val="00A80E07"/>
    <w:rsid w:val="00A87BDF"/>
    <w:rsid w:val="00A93AE2"/>
    <w:rsid w:val="00AB5537"/>
    <w:rsid w:val="00AD3DAC"/>
    <w:rsid w:val="00AD6850"/>
    <w:rsid w:val="00AD6A80"/>
    <w:rsid w:val="00AF65D5"/>
    <w:rsid w:val="00B046FC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575F2"/>
    <w:rsid w:val="00B635EE"/>
    <w:rsid w:val="00B66E36"/>
    <w:rsid w:val="00B757DB"/>
    <w:rsid w:val="00B820EC"/>
    <w:rsid w:val="00B9298D"/>
    <w:rsid w:val="00BA7824"/>
    <w:rsid w:val="00BB37AA"/>
    <w:rsid w:val="00BB4DCE"/>
    <w:rsid w:val="00BC071A"/>
    <w:rsid w:val="00BD3293"/>
    <w:rsid w:val="00BD76E0"/>
    <w:rsid w:val="00BE628D"/>
    <w:rsid w:val="00BF41AD"/>
    <w:rsid w:val="00BF6F91"/>
    <w:rsid w:val="00C013B6"/>
    <w:rsid w:val="00C04C07"/>
    <w:rsid w:val="00C141EA"/>
    <w:rsid w:val="00C61DE5"/>
    <w:rsid w:val="00C61F7B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678"/>
    <w:rsid w:val="00E32EBC"/>
    <w:rsid w:val="00E44AE0"/>
    <w:rsid w:val="00E46703"/>
    <w:rsid w:val="00E47344"/>
    <w:rsid w:val="00E526B4"/>
    <w:rsid w:val="00E578F7"/>
    <w:rsid w:val="00E64BCF"/>
    <w:rsid w:val="00E726D5"/>
    <w:rsid w:val="00E80C4D"/>
    <w:rsid w:val="00EA2335"/>
    <w:rsid w:val="00EB2FF4"/>
    <w:rsid w:val="00EB4CF1"/>
    <w:rsid w:val="00EB7EC3"/>
    <w:rsid w:val="00EF1F8C"/>
    <w:rsid w:val="00EF75AF"/>
    <w:rsid w:val="00F0359E"/>
    <w:rsid w:val="00F04605"/>
    <w:rsid w:val="00F275B7"/>
    <w:rsid w:val="00F36447"/>
    <w:rsid w:val="00F44C4C"/>
    <w:rsid w:val="00F6721B"/>
    <w:rsid w:val="00F70682"/>
    <w:rsid w:val="00F8740B"/>
    <w:rsid w:val="00FA4749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366D"/>
  <w15:docId w15:val="{346C76FC-D4A7-4A93-998A-D3F2FB69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CF55-A600-4BBC-B8EE-1455BE2B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2021-01-03T05:18:00Z</cp:lastPrinted>
  <dcterms:created xsi:type="dcterms:W3CDTF">2021-01-03T05:59:00Z</dcterms:created>
  <dcterms:modified xsi:type="dcterms:W3CDTF">2021-01-03T05:59:00Z</dcterms:modified>
</cp:coreProperties>
</file>